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C3" w:rsidRPr="0001658F" w:rsidRDefault="00A920C3" w:rsidP="00A920C3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 xml:space="preserve">Warszawa, </w:t>
      </w:r>
      <w:r w:rsidR="00796990">
        <w:rPr>
          <w:rFonts w:asciiTheme="minorHAnsi" w:hAnsiTheme="minorHAnsi" w:cstheme="minorHAnsi"/>
          <w:b/>
        </w:rPr>
        <w:t>27-07-2017</w:t>
      </w:r>
    </w:p>
    <w:p w:rsidR="00A920C3" w:rsidRPr="0001658F" w:rsidRDefault="00A920C3" w:rsidP="00A920C3">
      <w:pPr>
        <w:spacing w:line="276" w:lineRule="auto"/>
        <w:rPr>
          <w:rFonts w:asciiTheme="minorHAnsi" w:hAnsiTheme="minorHAnsi" w:cstheme="minorHAnsi"/>
          <w:b/>
        </w:rPr>
      </w:pPr>
    </w:p>
    <w:p w:rsidR="00A920C3" w:rsidRPr="0001658F" w:rsidRDefault="00A920C3" w:rsidP="00A920C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A920C3" w:rsidRPr="0001658F" w:rsidRDefault="00A920C3" w:rsidP="00A920C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>OGŁOSZENIE</w:t>
      </w: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01658F">
        <w:rPr>
          <w:rFonts w:asciiTheme="minorHAnsi" w:hAnsiTheme="minorHAnsi" w:cstheme="minorHAnsi"/>
          <w:b/>
        </w:rPr>
        <w:br/>
        <w:t>30 000 EURO</w:t>
      </w: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A920C3" w:rsidRPr="0001658F" w:rsidRDefault="00A920C3" w:rsidP="00A920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A920C3" w:rsidRPr="0001658F" w:rsidRDefault="00A920C3" w:rsidP="00A920C3">
      <w:pPr>
        <w:spacing w:line="276" w:lineRule="auto"/>
        <w:rPr>
          <w:rFonts w:asciiTheme="minorHAnsi" w:hAnsiTheme="minorHAnsi" w:cstheme="minorHAnsi"/>
          <w:b/>
        </w:rPr>
      </w:pPr>
    </w:p>
    <w:p w:rsidR="00A920C3" w:rsidRPr="002E4177" w:rsidRDefault="00A920C3" w:rsidP="00A920C3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357" w:hanging="357"/>
        <w:rPr>
          <w:rFonts w:asciiTheme="minorHAnsi" w:hAnsiTheme="minorHAnsi" w:cstheme="minorHAnsi"/>
          <w:bCs/>
        </w:rPr>
      </w:pPr>
      <w:r w:rsidRPr="002E4177">
        <w:rPr>
          <w:rFonts w:asciiTheme="minorHAnsi" w:hAnsiTheme="minorHAnsi" w:cstheme="minorHAnsi"/>
          <w:b/>
          <w:bCs/>
        </w:rPr>
        <w:t>Przedmiot zamówienia</w:t>
      </w:r>
      <w:r w:rsidRPr="002E4177">
        <w:rPr>
          <w:rFonts w:asciiTheme="minorHAnsi" w:hAnsiTheme="minorHAnsi" w:cstheme="minorHAnsi"/>
          <w:bCs/>
        </w:rPr>
        <w:t>:</w:t>
      </w:r>
      <w:r w:rsidRPr="002E4177">
        <w:rPr>
          <w:rFonts w:asciiTheme="minorHAnsi" w:hAnsiTheme="minorHAnsi" w:cstheme="minorHAnsi"/>
        </w:rPr>
        <w:t xml:space="preserve"> </w:t>
      </w:r>
    </w:p>
    <w:p w:rsidR="00494456" w:rsidRPr="002E4177" w:rsidRDefault="00494456" w:rsidP="00494456">
      <w:pPr>
        <w:pStyle w:val="Akapitzlist"/>
        <w:spacing w:before="120" w:after="120"/>
        <w:ind w:left="360"/>
        <w:jc w:val="both"/>
        <w:rPr>
          <w:rStyle w:val="Pogrubienie"/>
          <w:rFonts w:asciiTheme="minorHAnsi" w:eastAsiaTheme="minorEastAsia" w:hAnsiTheme="minorHAnsi" w:cstheme="minorHAnsi"/>
        </w:rPr>
      </w:pPr>
      <w:r w:rsidRPr="002E4177">
        <w:rPr>
          <w:rStyle w:val="Pogrubienie"/>
          <w:rFonts w:asciiTheme="minorHAnsi" w:eastAsiaTheme="minorEastAsia" w:hAnsiTheme="minorHAnsi" w:cstheme="minorHAnsi"/>
          <w:b w:val="0"/>
        </w:rPr>
        <w:t xml:space="preserve">Ekspertyza (dzieło) dotycząca przeglądu systemów monitorowania </w:t>
      </w:r>
      <w:r w:rsidRPr="002E4177">
        <w:rPr>
          <w:rFonts w:asciiTheme="minorHAnsi" w:hAnsiTheme="minorHAnsi" w:cstheme="minorHAnsi"/>
        </w:rPr>
        <w:t>pod kątem możliwości wykorzystania istniejących rozwiązań w ramach Zintegrowanego Systemu Kwalifikacji</w:t>
      </w:r>
      <w:r w:rsidR="00DE7D37" w:rsidRPr="002E4177">
        <w:rPr>
          <w:rStyle w:val="Pogrubienie"/>
          <w:rFonts w:asciiTheme="minorHAnsi" w:eastAsiaTheme="minorEastAsia" w:hAnsiTheme="minorHAnsi" w:cstheme="minorHAnsi"/>
        </w:rPr>
        <w:t>.</w:t>
      </w:r>
    </w:p>
    <w:p w:rsidR="00DE7D37" w:rsidRPr="002E4177" w:rsidRDefault="00DE7D37" w:rsidP="00DE7D37">
      <w:pPr>
        <w:spacing w:before="120" w:after="120"/>
        <w:ind w:left="360"/>
        <w:jc w:val="both"/>
        <w:rPr>
          <w:rStyle w:val="Hipercze"/>
          <w:rFonts w:asciiTheme="minorHAnsi" w:eastAsiaTheme="minorEastAsia" w:hAnsiTheme="minorHAnsi" w:cstheme="minorHAnsi"/>
        </w:rPr>
      </w:pPr>
      <w:r w:rsidRPr="002E4177">
        <w:rPr>
          <w:rFonts w:asciiTheme="minorHAnsi" w:hAnsiTheme="minorHAnsi" w:cstheme="minorHAnsi"/>
          <w:b/>
        </w:rPr>
        <w:t>Oczekiwanym efektem</w:t>
      </w:r>
      <w:r w:rsidRPr="002E4177">
        <w:rPr>
          <w:rFonts w:asciiTheme="minorHAnsi" w:hAnsiTheme="minorHAnsi" w:cstheme="minorHAnsi"/>
        </w:rPr>
        <w:t xml:space="preserve"> ekspertyzy jest przygotowanie opracowania, zawierającego pogłębioną analizę co najmniej trzech systemów monitorowania (krajowych lub zagranicznych), z uwzględnieniem ich mocnych i słabych stron.</w:t>
      </w:r>
    </w:p>
    <w:p w:rsidR="00A920C3" w:rsidRPr="002E4177" w:rsidRDefault="00A920C3" w:rsidP="00A920C3">
      <w:pPr>
        <w:spacing w:after="120" w:line="276" w:lineRule="auto"/>
        <w:ind w:firstLine="357"/>
        <w:rPr>
          <w:rFonts w:asciiTheme="minorHAnsi" w:hAnsiTheme="minorHAnsi" w:cstheme="minorHAnsi"/>
          <w:bCs/>
        </w:rPr>
      </w:pPr>
      <w:r w:rsidRPr="002E4177">
        <w:rPr>
          <w:rFonts w:asciiTheme="minorHAnsi" w:hAnsiTheme="minorHAnsi" w:cstheme="minorHAnsi"/>
        </w:rPr>
        <w:t>S</w:t>
      </w:r>
      <w:r w:rsidRPr="002E4177">
        <w:rPr>
          <w:rFonts w:asciiTheme="minorHAnsi" w:hAnsiTheme="minorHAnsi" w:cstheme="minorHAnsi"/>
          <w:bCs/>
        </w:rPr>
        <w:t xml:space="preserve">zczegółowy opis zamówienia </w:t>
      </w:r>
      <w:r w:rsidRPr="001D6172">
        <w:rPr>
          <w:rFonts w:asciiTheme="minorHAnsi" w:hAnsiTheme="minorHAnsi" w:cstheme="minorHAnsi"/>
          <w:bCs/>
        </w:rPr>
        <w:t>stanowi załącznik nr 2.</w:t>
      </w:r>
      <w:bookmarkStart w:id="0" w:name="_GoBack"/>
      <w:bookmarkEnd w:id="0"/>
    </w:p>
    <w:p w:rsidR="00A920C3" w:rsidRPr="002E4177" w:rsidRDefault="00A920C3" w:rsidP="00A920C3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2E4177">
        <w:rPr>
          <w:rFonts w:asciiTheme="minorHAnsi" w:hAnsiTheme="minorHAnsi" w:cstheme="minorHAnsi"/>
          <w:b/>
          <w:bCs/>
        </w:rPr>
        <w:t>Termin realizacji zamówienia:</w:t>
      </w:r>
      <w:r w:rsidRPr="002E4177">
        <w:rPr>
          <w:rFonts w:asciiTheme="minorHAnsi" w:hAnsiTheme="minorHAnsi" w:cstheme="minorHAnsi"/>
          <w:bCs/>
        </w:rPr>
        <w:t xml:space="preserve"> </w:t>
      </w:r>
      <w:r w:rsidR="00CA5CD2">
        <w:rPr>
          <w:rFonts w:asciiTheme="minorHAnsi" w:hAnsiTheme="minorHAnsi" w:cstheme="minorHAnsi"/>
          <w:bCs/>
        </w:rPr>
        <w:t xml:space="preserve"> do 15 grudnia 2017 r. </w:t>
      </w:r>
    </w:p>
    <w:p w:rsidR="00A920C3" w:rsidRPr="002E4177" w:rsidRDefault="00A920C3" w:rsidP="00A920C3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2E4177">
        <w:rPr>
          <w:rFonts w:asciiTheme="minorHAnsi" w:hAnsiTheme="minorHAnsi" w:cstheme="minorHAnsi"/>
          <w:b/>
          <w:bCs/>
        </w:rPr>
        <w:t>W</w:t>
      </w:r>
      <w:r w:rsidR="00D243AB" w:rsidRPr="002E4177">
        <w:rPr>
          <w:rFonts w:asciiTheme="minorHAnsi" w:hAnsiTheme="minorHAnsi" w:cstheme="minorHAnsi"/>
          <w:b/>
          <w:bCs/>
        </w:rPr>
        <w:t>arunki udziału w postępowaniu</w:t>
      </w:r>
      <w:r w:rsidRPr="002E4177">
        <w:rPr>
          <w:rFonts w:asciiTheme="minorHAnsi" w:hAnsiTheme="minorHAnsi" w:cstheme="minorHAnsi"/>
          <w:bCs/>
        </w:rPr>
        <w:t>:</w:t>
      </w:r>
    </w:p>
    <w:p w:rsidR="00A920C3" w:rsidRPr="002E4177" w:rsidRDefault="00A920C3" w:rsidP="00A920C3">
      <w:pPr>
        <w:ind w:firstLine="360"/>
        <w:jc w:val="both"/>
        <w:rPr>
          <w:rFonts w:asciiTheme="minorHAnsi" w:hAnsiTheme="minorHAnsi" w:cstheme="minorHAnsi"/>
          <w:bCs/>
        </w:rPr>
      </w:pPr>
    </w:p>
    <w:p w:rsidR="00A26960" w:rsidRPr="002E4177" w:rsidRDefault="00A26960" w:rsidP="00A26960">
      <w:pPr>
        <w:rPr>
          <w:rFonts w:asciiTheme="minorHAnsi" w:hAnsiTheme="minorHAnsi" w:cs="Arial"/>
        </w:rPr>
      </w:pPr>
      <w:r w:rsidRPr="002E4177">
        <w:rPr>
          <w:rFonts w:asciiTheme="minorHAnsi" w:hAnsiTheme="minorHAnsi" w:cs="Arial"/>
        </w:rPr>
        <w:t>Wymaga się aby Wykonawca dysponował ekspertami spełniającymi łącznie następujące warunki:</w:t>
      </w:r>
    </w:p>
    <w:p w:rsidR="00A26960" w:rsidRPr="002E4177" w:rsidRDefault="00A26960" w:rsidP="00A26960">
      <w:pPr>
        <w:pStyle w:val="Akapitzlist"/>
        <w:numPr>
          <w:ilvl w:val="0"/>
          <w:numId w:val="2"/>
        </w:numPr>
        <w:spacing w:after="200" w:line="276" w:lineRule="auto"/>
        <w:ind w:left="1068"/>
        <w:contextualSpacing w:val="0"/>
        <w:jc w:val="both"/>
        <w:rPr>
          <w:rFonts w:asciiTheme="minorHAnsi" w:hAnsiTheme="minorHAnsi" w:cs="Arial"/>
        </w:rPr>
      </w:pPr>
      <w:r w:rsidRPr="002E4177">
        <w:rPr>
          <w:rFonts w:asciiTheme="minorHAnsi" w:hAnsiTheme="minorHAnsi" w:cs="Arial"/>
        </w:rPr>
        <w:t>Posiadają wykształcenie wyższe w zakresie nauk społecznych;</w:t>
      </w:r>
    </w:p>
    <w:p w:rsidR="00A26960" w:rsidRPr="002E4177" w:rsidRDefault="00A26960" w:rsidP="00A26960">
      <w:pPr>
        <w:pStyle w:val="Akapitzlist"/>
        <w:ind w:left="1068"/>
        <w:jc w:val="both"/>
        <w:rPr>
          <w:rFonts w:asciiTheme="minorHAnsi" w:hAnsiTheme="minorHAnsi" w:cs="Arial"/>
        </w:rPr>
      </w:pPr>
      <w:r w:rsidRPr="002E4177">
        <w:rPr>
          <w:rFonts w:asciiTheme="minorHAnsi" w:hAnsiTheme="minorHAnsi" w:cs="Arial"/>
        </w:rPr>
        <w:t>Doświadczenie:</w:t>
      </w:r>
    </w:p>
    <w:p w:rsidR="00A26960" w:rsidRPr="002E4177" w:rsidRDefault="00A26960" w:rsidP="00A26960">
      <w:pPr>
        <w:ind w:firstLine="708"/>
        <w:jc w:val="both"/>
        <w:rPr>
          <w:rFonts w:asciiTheme="minorHAnsi" w:hAnsiTheme="minorHAnsi" w:cs="Arial"/>
        </w:rPr>
      </w:pPr>
      <w:r w:rsidRPr="002E4177">
        <w:rPr>
          <w:rFonts w:asciiTheme="minorHAnsi" w:hAnsiTheme="minorHAnsi" w:cs="Arial"/>
        </w:rPr>
        <w:t xml:space="preserve">b) </w:t>
      </w:r>
      <w:r w:rsidRPr="001D6172">
        <w:rPr>
          <w:rFonts w:asciiTheme="minorHAnsi" w:hAnsiTheme="minorHAnsi" w:cs="Arial"/>
        </w:rPr>
        <w:t>posiadają doświadczenie w przygotowywaniu i wdrażaniu systemów monitorowania (wykonawca przedstawi wykaz ww. doświadczeń w formie listy</w:t>
      </w:r>
      <w:r w:rsidR="007433BD" w:rsidRPr="007433BD">
        <w:rPr>
          <w:rFonts w:asciiTheme="minorHAnsi" w:hAnsiTheme="minorHAnsi" w:cs="Arial"/>
        </w:rPr>
        <w:t>, por. Załącznik nr 4</w:t>
      </w:r>
      <w:r w:rsidRPr="001D6172">
        <w:rPr>
          <w:rFonts w:asciiTheme="minorHAnsi" w:hAnsiTheme="minorHAnsi" w:cs="Arial"/>
        </w:rPr>
        <w:t>). Zamawiający uzna wymóg za spełniony jeżeli każdy z ekspertów opracował co najmniej 3 raporty, ekspertyzy lub analizy dotyczące ewaluacji lub prowadził co najmniej 3 projekty wdrożeniowe uwzględniające fazę monitorowania (łącznie nie mniej niż 3).</w:t>
      </w:r>
    </w:p>
    <w:p w:rsidR="00A26960" w:rsidRPr="002E4177" w:rsidRDefault="00A26960" w:rsidP="00A26960">
      <w:pPr>
        <w:ind w:firstLine="708"/>
        <w:jc w:val="both"/>
        <w:rPr>
          <w:rFonts w:asciiTheme="minorHAnsi" w:hAnsiTheme="minorHAnsi" w:cs="Arial"/>
        </w:rPr>
      </w:pPr>
    </w:p>
    <w:p w:rsidR="00A920C3" w:rsidRPr="002E4177" w:rsidRDefault="00A920C3" w:rsidP="00A920C3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2E4177">
        <w:rPr>
          <w:rFonts w:asciiTheme="minorHAnsi" w:hAnsiTheme="minorHAnsi" w:cstheme="minorHAnsi"/>
          <w:b/>
          <w:bCs/>
        </w:rPr>
        <w:t>Kryterium oceny ofert oraz sposób dokonania ich oceny</w:t>
      </w:r>
    </w:p>
    <w:p w:rsidR="00A26960" w:rsidRPr="002E4177" w:rsidRDefault="00A26960" w:rsidP="00A26960">
      <w:pPr>
        <w:pStyle w:val="Akapitzlist1"/>
        <w:numPr>
          <w:ilvl w:val="0"/>
          <w:numId w:val="3"/>
        </w:numPr>
        <w:spacing w:after="120"/>
        <w:ind w:left="106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cena (maks. </w:t>
      </w:r>
      <w:r w:rsidRPr="002E41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30 pkt</w:t>
      </w:r>
      <w:r w:rsidRPr="002E4177">
        <w:rPr>
          <w:rFonts w:asciiTheme="minorHAnsi" w:eastAsia="Times New Roman" w:hAnsiTheme="minorHAnsi" w:cstheme="minorHAnsi"/>
          <w:sz w:val="24"/>
          <w:szCs w:val="24"/>
          <w:lang w:eastAsia="pl-PL"/>
        </w:rPr>
        <w:t>.),</w:t>
      </w:r>
    </w:p>
    <w:p w:rsidR="00A26960" w:rsidRPr="002E4177" w:rsidRDefault="00A26960" w:rsidP="00A26960">
      <w:pPr>
        <w:pStyle w:val="Akapitzlist1"/>
        <w:numPr>
          <w:ilvl w:val="1"/>
          <w:numId w:val="4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Najwyższą liczbę punktów otrzyma oferta zawierająca najniższą cenę brutto, a każda następna zgodnie ze wzorem: </w:t>
      </w:r>
    </w:p>
    <w:p w:rsidR="00A26960" w:rsidRPr="002E4177" w:rsidRDefault="00A26960" w:rsidP="00A26960">
      <w:pPr>
        <w:pStyle w:val="Akapitzlist1"/>
        <w:numPr>
          <w:ilvl w:val="1"/>
          <w:numId w:val="4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 oferty = (cena oferty najtańszej x 30) / cena oferty ocenianej.</w:t>
      </w:r>
    </w:p>
    <w:p w:rsidR="00A26960" w:rsidRPr="002E4177" w:rsidRDefault="00A26960" w:rsidP="00A26960">
      <w:pPr>
        <w:pStyle w:val="Akapitzlist1"/>
        <w:numPr>
          <w:ilvl w:val="0"/>
          <w:numId w:val="3"/>
        </w:numPr>
        <w:spacing w:after="120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Doświadczenie ekspertów wskazanych przez wykonawcę (maks. </w:t>
      </w:r>
      <w:r w:rsidRPr="002E41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40 pkt.</w:t>
      </w:r>
      <w:r w:rsidRPr="002E4177">
        <w:rPr>
          <w:rFonts w:asciiTheme="minorHAnsi" w:eastAsia="Times New Roman" w:hAnsiTheme="minorHAnsi" w:cstheme="minorHAnsi"/>
          <w:sz w:val="24"/>
          <w:szCs w:val="24"/>
          <w:lang w:eastAsia="pl-PL"/>
        </w:rPr>
        <w:t>), w tym:</w:t>
      </w:r>
    </w:p>
    <w:p w:rsidR="00A26960" w:rsidRPr="002E4177" w:rsidRDefault="00A26960" w:rsidP="00A26960">
      <w:pPr>
        <w:pStyle w:val="Akapitzlist1"/>
        <w:numPr>
          <w:ilvl w:val="0"/>
          <w:numId w:val="5"/>
        </w:numPr>
        <w:ind w:left="14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4177">
        <w:rPr>
          <w:rFonts w:asciiTheme="minorHAnsi" w:hAnsiTheme="minorHAnsi" w:cstheme="minorHAnsi"/>
          <w:sz w:val="24"/>
          <w:szCs w:val="24"/>
        </w:rPr>
        <w:t xml:space="preserve">doświadczenie we wdrażaniu systemu monitoringu (maks. </w:t>
      </w:r>
      <w:r w:rsidRPr="002E4177">
        <w:rPr>
          <w:rFonts w:asciiTheme="minorHAnsi" w:hAnsiTheme="minorHAnsi" w:cstheme="minorHAnsi"/>
          <w:b/>
          <w:sz w:val="24"/>
          <w:szCs w:val="24"/>
        </w:rPr>
        <w:t>30 pkt.</w:t>
      </w:r>
      <w:r w:rsidRPr="002E4177">
        <w:rPr>
          <w:rFonts w:asciiTheme="minorHAnsi" w:hAnsiTheme="minorHAnsi" w:cstheme="minorHAnsi"/>
          <w:sz w:val="24"/>
          <w:szCs w:val="24"/>
        </w:rPr>
        <w:t xml:space="preserve">): </w:t>
      </w:r>
    </w:p>
    <w:p w:rsidR="00A26960" w:rsidRPr="002E4177" w:rsidRDefault="00A26960" w:rsidP="007433BD">
      <w:pPr>
        <w:pStyle w:val="Akapitzlist1"/>
        <w:numPr>
          <w:ilvl w:val="1"/>
          <w:numId w:val="6"/>
        </w:numPr>
        <w:ind w:left="184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wdrażanie systemu monitoringu w projektach finansowanych z EFS </w:t>
      </w:r>
      <w:r w:rsidRPr="002E4177">
        <w:rPr>
          <w:rFonts w:asciiTheme="minorHAnsi" w:hAnsiTheme="minorHAnsi" w:cstheme="minorHAnsi"/>
          <w:sz w:val="24"/>
          <w:szCs w:val="24"/>
        </w:rPr>
        <w:t>(10 pkt.),</w:t>
      </w:r>
    </w:p>
    <w:p w:rsidR="00A26960" w:rsidRPr="002E4177" w:rsidRDefault="00A26960" w:rsidP="007433BD">
      <w:pPr>
        <w:pStyle w:val="Akapitzlist1"/>
        <w:numPr>
          <w:ilvl w:val="1"/>
          <w:numId w:val="6"/>
        </w:numPr>
        <w:ind w:left="184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4177">
        <w:rPr>
          <w:rFonts w:asciiTheme="minorHAnsi" w:hAnsiTheme="minorHAnsi" w:cstheme="minorHAnsi"/>
          <w:sz w:val="24"/>
          <w:szCs w:val="24"/>
        </w:rPr>
        <w:t>projektowanie systemu w skali całego kraju (10 pkt.),</w:t>
      </w:r>
    </w:p>
    <w:p w:rsidR="00A26960" w:rsidRPr="007433BD" w:rsidRDefault="00A26960" w:rsidP="007433BD">
      <w:pPr>
        <w:pStyle w:val="Akapitzlist1"/>
        <w:numPr>
          <w:ilvl w:val="1"/>
          <w:numId w:val="6"/>
        </w:numPr>
        <w:ind w:left="184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prowadzenie badań nad funkcjonowaniem systemu monitoringu </w:t>
      </w:r>
      <w:r w:rsidRPr="002E4177">
        <w:rPr>
          <w:rFonts w:asciiTheme="minorHAnsi" w:hAnsiTheme="minorHAnsi" w:cstheme="minorHAnsi"/>
          <w:sz w:val="24"/>
          <w:szCs w:val="24"/>
        </w:rPr>
        <w:t>(10 pkt.)</w:t>
      </w:r>
    </w:p>
    <w:p w:rsidR="007433BD" w:rsidRPr="007433BD" w:rsidRDefault="007433BD" w:rsidP="007433BD">
      <w:pPr>
        <w:pStyle w:val="Tekstpodstawowy"/>
        <w:tabs>
          <w:tab w:val="left" w:pos="284"/>
        </w:tabs>
        <w:spacing w:before="60" w:after="60"/>
        <w:ind w:left="1855"/>
        <w:jc w:val="both"/>
        <w:rPr>
          <w:rFonts w:asciiTheme="minorHAnsi" w:eastAsia="Times New Roman" w:hAnsiTheme="minorHAnsi" w:cstheme="minorHAnsi"/>
        </w:rPr>
      </w:pPr>
      <w:r w:rsidRPr="002E4177">
        <w:rPr>
          <w:rFonts w:asciiTheme="minorHAnsi" w:hAnsiTheme="minorHAnsi" w:cstheme="minorHAnsi"/>
        </w:rPr>
        <w:t xml:space="preserve">Wykonawca przedstawi </w:t>
      </w:r>
      <w:r>
        <w:rPr>
          <w:rFonts w:asciiTheme="minorHAnsi" w:hAnsiTheme="minorHAnsi" w:cstheme="minorHAnsi"/>
        </w:rPr>
        <w:t>ww. doświadczenie</w:t>
      </w:r>
      <w:r w:rsidRPr="002E4177">
        <w:rPr>
          <w:rFonts w:asciiTheme="minorHAnsi" w:hAnsiTheme="minorHAnsi" w:cstheme="minorHAnsi"/>
        </w:rPr>
        <w:t xml:space="preserve"> w formie listy</w:t>
      </w:r>
      <w:r>
        <w:rPr>
          <w:rFonts w:asciiTheme="minorHAnsi" w:hAnsiTheme="minorHAnsi" w:cstheme="minorHAnsi"/>
        </w:rPr>
        <w:t xml:space="preserve"> (</w:t>
      </w:r>
      <w:r w:rsidRPr="007433BD">
        <w:rPr>
          <w:rFonts w:asciiTheme="minorHAnsi" w:hAnsiTheme="minorHAnsi" w:cs="Arial"/>
        </w:rPr>
        <w:t xml:space="preserve">por. Załącznik nr </w:t>
      </w:r>
      <w:r>
        <w:rPr>
          <w:rFonts w:asciiTheme="minorHAnsi" w:hAnsiTheme="minorHAnsi" w:cs="Arial"/>
        </w:rPr>
        <w:t>5);</w:t>
      </w:r>
      <w:r w:rsidRPr="002E4177">
        <w:rPr>
          <w:rFonts w:asciiTheme="minorHAnsi" w:hAnsiTheme="minorHAnsi" w:cstheme="minorHAnsi"/>
        </w:rPr>
        <w:t xml:space="preserve"> </w:t>
      </w:r>
    </w:p>
    <w:p w:rsidR="00A26960" w:rsidRPr="002E4177" w:rsidRDefault="00A26960" w:rsidP="00A26960">
      <w:pPr>
        <w:pStyle w:val="Akapitzlist1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4177">
        <w:rPr>
          <w:rFonts w:asciiTheme="minorHAnsi" w:hAnsiTheme="minorHAnsi" w:cstheme="minorHAnsi"/>
          <w:sz w:val="24"/>
          <w:szCs w:val="24"/>
        </w:rPr>
        <w:t xml:space="preserve">autorstwo lub współautorstwo publikacji na podstawie doświadczeń z wdrażania lub badania nad systemami monitoringu, wykazane linkami do publikacji lub zrzutami ekranów stron internetowych (maks. </w:t>
      </w:r>
      <w:r w:rsidRPr="002E4177">
        <w:rPr>
          <w:rFonts w:asciiTheme="minorHAnsi" w:hAnsiTheme="minorHAnsi" w:cstheme="minorHAnsi"/>
          <w:b/>
          <w:sz w:val="24"/>
          <w:szCs w:val="24"/>
        </w:rPr>
        <w:t>10 pkt.</w:t>
      </w:r>
      <w:r w:rsidRPr="002E4177">
        <w:rPr>
          <w:rFonts w:asciiTheme="minorHAnsi" w:hAnsiTheme="minorHAnsi" w:cstheme="minorHAnsi"/>
          <w:sz w:val="24"/>
          <w:szCs w:val="24"/>
        </w:rPr>
        <w:t>),</w:t>
      </w:r>
    </w:p>
    <w:p w:rsidR="00A26960" w:rsidRPr="002E4177" w:rsidRDefault="00A26960" w:rsidP="00A26960">
      <w:pPr>
        <w:pStyle w:val="Tekstpodstawowy"/>
        <w:numPr>
          <w:ilvl w:val="0"/>
          <w:numId w:val="7"/>
        </w:numPr>
        <w:tabs>
          <w:tab w:val="left" w:pos="284"/>
        </w:tabs>
        <w:spacing w:before="60" w:after="60"/>
        <w:jc w:val="both"/>
        <w:rPr>
          <w:rFonts w:asciiTheme="minorHAnsi" w:eastAsia="Times New Roman" w:hAnsiTheme="minorHAnsi" w:cstheme="minorHAnsi"/>
        </w:rPr>
      </w:pPr>
      <w:r w:rsidRPr="002E4177">
        <w:rPr>
          <w:rFonts w:asciiTheme="minorHAnsi" w:eastAsia="Times New Roman" w:hAnsiTheme="minorHAnsi" w:cstheme="minorHAnsi"/>
        </w:rPr>
        <w:t>2 pkt za każde opracowanie nt. wdrażania systemu monitoringu</w:t>
      </w:r>
      <w:r w:rsidR="00EC5886">
        <w:rPr>
          <w:rFonts w:asciiTheme="minorHAnsi" w:eastAsia="Times New Roman" w:hAnsiTheme="minorHAnsi" w:cstheme="minorHAnsi"/>
        </w:rPr>
        <w:t xml:space="preserve"> </w:t>
      </w:r>
      <w:r w:rsidRPr="002E4177">
        <w:rPr>
          <w:rFonts w:asciiTheme="minorHAnsi" w:eastAsia="Times New Roman" w:hAnsiTheme="minorHAnsi" w:cstheme="minorHAnsi"/>
        </w:rPr>
        <w:t xml:space="preserve">(maksymalnie </w:t>
      </w:r>
      <w:r w:rsidR="00EC5886">
        <w:rPr>
          <w:rFonts w:asciiTheme="minorHAnsi" w:eastAsia="Times New Roman" w:hAnsiTheme="minorHAnsi" w:cstheme="minorHAnsi"/>
        </w:rPr>
        <w:t>5</w:t>
      </w:r>
      <w:r w:rsidRPr="002E4177">
        <w:rPr>
          <w:rFonts w:asciiTheme="minorHAnsi" w:eastAsia="Times New Roman" w:hAnsiTheme="minorHAnsi" w:cstheme="minorHAnsi"/>
        </w:rPr>
        <w:t xml:space="preserve"> opracowań),</w:t>
      </w:r>
    </w:p>
    <w:p w:rsidR="00A26960" w:rsidRPr="002E4177" w:rsidRDefault="00A26960" w:rsidP="007433BD">
      <w:pPr>
        <w:pStyle w:val="Tekstpodstawowy"/>
        <w:tabs>
          <w:tab w:val="left" w:pos="284"/>
        </w:tabs>
        <w:spacing w:before="60" w:after="60"/>
        <w:ind w:left="1855"/>
        <w:jc w:val="both"/>
        <w:rPr>
          <w:rFonts w:asciiTheme="minorHAnsi" w:eastAsia="Times New Roman" w:hAnsiTheme="minorHAnsi" w:cstheme="minorHAnsi"/>
        </w:rPr>
      </w:pPr>
      <w:r w:rsidRPr="002E4177">
        <w:rPr>
          <w:rFonts w:asciiTheme="minorHAnsi" w:hAnsiTheme="minorHAnsi" w:cstheme="minorHAnsi"/>
        </w:rPr>
        <w:t>Wykonawca przedstawi publikacje w formie listy</w:t>
      </w:r>
      <w:r w:rsidR="007433BD">
        <w:rPr>
          <w:rFonts w:asciiTheme="minorHAnsi" w:hAnsiTheme="minorHAnsi" w:cstheme="minorHAnsi"/>
        </w:rPr>
        <w:t xml:space="preserve"> (</w:t>
      </w:r>
      <w:r w:rsidR="007433BD" w:rsidRPr="007433BD">
        <w:rPr>
          <w:rFonts w:asciiTheme="minorHAnsi" w:hAnsiTheme="minorHAnsi" w:cs="Arial"/>
        </w:rPr>
        <w:t xml:space="preserve">por. Załącznik nr </w:t>
      </w:r>
      <w:r w:rsidR="007433BD">
        <w:rPr>
          <w:rFonts w:asciiTheme="minorHAnsi" w:hAnsiTheme="minorHAnsi" w:cs="Arial"/>
        </w:rPr>
        <w:t>5)</w:t>
      </w:r>
      <w:r w:rsidRPr="002E4177">
        <w:rPr>
          <w:rFonts w:asciiTheme="minorHAnsi" w:hAnsiTheme="minorHAnsi" w:cstheme="minorHAnsi"/>
        </w:rPr>
        <w:t xml:space="preserve">, tę samą publikację można wykazać tylko raz (jeśli przygotowywana była przez więcej niż jednego członka zespołu wskazanego przez Wykonawcę). </w:t>
      </w:r>
    </w:p>
    <w:p w:rsidR="00A26960" w:rsidRPr="002E4177" w:rsidRDefault="00A26960" w:rsidP="00A26960">
      <w:pPr>
        <w:pStyle w:val="Tekstpodstawowy"/>
        <w:numPr>
          <w:ilvl w:val="0"/>
          <w:numId w:val="3"/>
        </w:numPr>
        <w:tabs>
          <w:tab w:val="left" w:pos="284"/>
        </w:tabs>
        <w:spacing w:before="60" w:after="60"/>
        <w:ind w:left="993" w:hanging="426"/>
        <w:jc w:val="both"/>
        <w:rPr>
          <w:rFonts w:asciiTheme="minorHAnsi" w:eastAsia="Times New Roman" w:hAnsiTheme="minorHAnsi" w:cstheme="minorHAnsi"/>
        </w:rPr>
      </w:pPr>
      <w:r w:rsidRPr="002E4177">
        <w:rPr>
          <w:rFonts w:asciiTheme="minorHAnsi" w:eastAsia="Times New Roman" w:hAnsiTheme="minorHAnsi" w:cstheme="minorHAnsi"/>
        </w:rPr>
        <w:t>Wstępna koncepcja ekspertyzy</w:t>
      </w:r>
      <w:r w:rsidRPr="002E4177">
        <w:rPr>
          <w:rFonts w:asciiTheme="minorHAnsi" w:hAnsiTheme="minorHAnsi" w:cstheme="minorHAnsi"/>
        </w:rPr>
        <w:t xml:space="preserve"> zgodnie </w:t>
      </w:r>
      <w:r w:rsidRPr="001D6172">
        <w:rPr>
          <w:rFonts w:asciiTheme="minorHAnsi" w:hAnsiTheme="minorHAnsi" w:cstheme="minorHAnsi"/>
        </w:rPr>
        <w:t xml:space="preserve">z załącznikiem nr </w:t>
      </w:r>
      <w:r w:rsidR="00435CB3" w:rsidRPr="001D6172">
        <w:rPr>
          <w:rFonts w:asciiTheme="minorHAnsi" w:hAnsiTheme="minorHAnsi" w:cstheme="minorHAnsi"/>
        </w:rPr>
        <w:t>2</w:t>
      </w:r>
      <w:r w:rsidRPr="001D6172">
        <w:rPr>
          <w:rFonts w:asciiTheme="minorHAnsi" w:hAnsiTheme="minorHAnsi" w:cstheme="minorHAnsi"/>
        </w:rPr>
        <w:t xml:space="preserve"> </w:t>
      </w:r>
      <w:r w:rsidRPr="001D6172">
        <w:rPr>
          <w:rFonts w:asciiTheme="minorHAnsi" w:eastAsia="Times New Roman" w:hAnsiTheme="minorHAnsi" w:cstheme="minorHAnsi"/>
        </w:rPr>
        <w:t xml:space="preserve"> (</w:t>
      </w:r>
      <w:r w:rsidRPr="002E4177">
        <w:rPr>
          <w:rFonts w:asciiTheme="minorHAnsi" w:eastAsia="Times New Roman" w:hAnsiTheme="minorHAnsi" w:cstheme="minorHAnsi"/>
        </w:rPr>
        <w:t xml:space="preserve">maks. </w:t>
      </w:r>
      <w:r w:rsidRPr="002E4177">
        <w:rPr>
          <w:rFonts w:asciiTheme="minorHAnsi" w:eastAsia="Times New Roman" w:hAnsiTheme="minorHAnsi" w:cstheme="minorHAnsi"/>
          <w:b/>
        </w:rPr>
        <w:t>25 pkt</w:t>
      </w:r>
      <w:r w:rsidRPr="002E4177">
        <w:rPr>
          <w:rFonts w:asciiTheme="minorHAnsi" w:eastAsia="Times New Roman" w:hAnsiTheme="minorHAnsi" w:cstheme="minorHAnsi"/>
        </w:rPr>
        <w:t xml:space="preserve">) </w:t>
      </w:r>
    </w:p>
    <w:p w:rsidR="00264C8A" w:rsidRDefault="00264C8A" w:rsidP="00627A82">
      <w:pPr>
        <w:pStyle w:val="Tekstpodstawowy"/>
        <w:numPr>
          <w:ilvl w:val="0"/>
          <w:numId w:val="19"/>
        </w:numPr>
        <w:spacing w:before="60"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Pr="00033B9B">
        <w:rPr>
          <w:rFonts w:asciiTheme="minorHAnsi" w:hAnsiTheme="minorHAnsi" w:cstheme="minorHAnsi"/>
        </w:rPr>
        <w:t xml:space="preserve"> pkt – jeżeli koncepcja będzie w pełni zgodna z celem ekspertyzy </w:t>
      </w:r>
      <w:r>
        <w:rPr>
          <w:rFonts w:asciiTheme="minorHAnsi" w:hAnsiTheme="minorHAnsi" w:cstheme="minorHAnsi"/>
        </w:rPr>
        <w:t>i</w:t>
      </w:r>
      <w:r w:rsidRPr="00033B9B">
        <w:rPr>
          <w:rFonts w:asciiTheme="minorHAnsi" w:hAnsiTheme="minorHAnsi" w:cstheme="minorHAnsi"/>
        </w:rPr>
        <w:t xml:space="preserve"> będzie dostosowana do specyfiki działania podmiotów w systemie ZSK;</w:t>
      </w:r>
    </w:p>
    <w:p w:rsidR="00264C8A" w:rsidRPr="00033B9B" w:rsidRDefault="00264C8A" w:rsidP="00627A82">
      <w:pPr>
        <w:pStyle w:val="Tekstpodstawowy"/>
        <w:numPr>
          <w:ilvl w:val="0"/>
          <w:numId w:val="19"/>
        </w:numPr>
        <w:spacing w:before="60"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pkt – jeżeli koncepcja będzie w pełni zgodna z celem ekspertyzy i będzie częściowo dostosowana do specyfiki działania podmiotów w systemie ZSK; lub jeżeli koncepcja będzie częściowo zgodna z celem ekspertyzy i będzie dostosowana do specyfiki działania podmiotów w systemie ZSK;</w:t>
      </w:r>
    </w:p>
    <w:p w:rsidR="00264C8A" w:rsidRPr="00033B9B" w:rsidRDefault="00264C8A" w:rsidP="00627A82">
      <w:pPr>
        <w:pStyle w:val="Tekstpodstawowy"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033B9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033B9B">
        <w:rPr>
          <w:rFonts w:asciiTheme="minorHAnsi" w:hAnsiTheme="minorHAnsi" w:cstheme="minorHAnsi"/>
        </w:rPr>
        <w:t xml:space="preserve"> pkt – jeżeli koncepcja będzie jedynie częściowo zgodna z celem ekspertyzy </w:t>
      </w:r>
      <w:r w:rsidRPr="00033B9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</w:t>
      </w:r>
      <w:r w:rsidRPr="00033B9B">
        <w:rPr>
          <w:rFonts w:asciiTheme="minorHAnsi" w:hAnsiTheme="minorHAnsi" w:cstheme="minorHAnsi"/>
        </w:rPr>
        <w:t xml:space="preserve"> będzie tylko częściowo dostosowana do specyfiki działania podmiotów w systemie ZSK;</w:t>
      </w:r>
    </w:p>
    <w:p w:rsidR="00264C8A" w:rsidRPr="00033B9B" w:rsidRDefault="00264C8A" w:rsidP="00627A82">
      <w:pPr>
        <w:pStyle w:val="Tekstpodstawowy"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033B9B">
        <w:rPr>
          <w:rFonts w:asciiTheme="minorHAnsi" w:hAnsiTheme="minorHAnsi" w:cstheme="minorHAnsi"/>
        </w:rPr>
        <w:t xml:space="preserve">5 pkt – jeżeli koncepcja będzie jedynie częściowo zgodna z celem ekspertyzy </w:t>
      </w:r>
      <w:r w:rsidRPr="00033B9B">
        <w:rPr>
          <w:rFonts w:asciiTheme="minorHAnsi" w:hAnsiTheme="minorHAnsi" w:cstheme="minorHAnsi"/>
        </w:rPr>
        <w:br/>
        <w:t>albo będzie tylko częściowo dostosowana do specyfiki działania podmiotów w systemie ZSK;</w:t>
      </w:r>
    </w:p>
    <w:p w:rsidR="00264C8A" w:rsidRDefault="00264C8A" w:rsidP="00627A82">
      <w:pPr>
        <w:pStyle w:val="Tekstpodstawowy"/>
        <w:numPr>
          <w:ilvl w:val="0"/>
          <w:numId w:val="19"/>
        </w:numPr>
        <w:spacing w:before="60"/>
        <w:jc w:val="both"/>
        <w:rPr>
          <w:rFonts w:asciiTheme="minorHAnsi" w:hAnsiTheme="minorHAnsi" w:cstheme="minorHAnsi"/>
        </w:rPr>
      </w:pPr>
      <w:r w:rsidRPr="00033B9B">
        <w:rPr>
          <w:rFonts w:asciiTheme="minorHAnsi" w:hAnsiTheme="minorHAnsi" w:cstheme="minorHAnsi"/>
        </w:rPr>
        <w:t>0 pkt – jeżeli koncepcja</w:t>
      </w:r>
      <w:r w:rsidRPr="00E073E2">
        <w:rPr>
          <w:rFonts w:asciiTheme="minorHAnsi" w:hAnsiTheme="minorHAnsi" w:cstheme="minorHAnsi"/>
        </w:rPr>
        <w:t xml:space="preserve"> będzie niezgodna z celem ekspertyzy </w:t>
      </w:r>
      <w:r>
        <w:rPr>
          <w:rFonts w:asciiTheme="minorHAnsi" w:hAnsiTheme="minorHAnsi" w:cstheme="minorHAnsi"/>
        </w:rPr>
        <w:t>i</w:t>
      </w:r>
      <w:r w:rsidRPr="00E073E2">
        <w:rPr>
          <w:rFonts w:asciiTheme="minorHAnsi" w:hAnsiTheme="minorHAnsi" w:cstheme="minorHAnsi"/>
        </w:rPr>
        <w:t xml:space="preserve"> nie będzie dostosowana do specyfiki działania podmiotów w systemie ZSK </w:t>
      </w:r>
    </w:p>
    <w:p w:rsidR="00264C8A" w:rsidRPr="00E073E2" w:rsidRDefault="00264C8A" w:rsidP="00264C8A">
      <w:pPr>
        <w:pStyle w:val="Tekstpodstawowy"/>
        <w:spacing w:before="60"/>
        <w:ind w:left="1560"/>
        <w:jc w:val="both"/>
        <w:rPr>
          <w:rFonts w:asciiTheme="minorHAnsi" w:hAnsiTheme="minorHAnsi" w:cstheme="minorHAnsi"/>
        </w:rPr>
      </w:pPr>
      <w:r w:rsidRPr="00E073E2">
        <w:rPr>
          <w:rFonts w:asciiTheme="minorHAnsi" w:eastAsia="Times New Roman" w:hAnsiTheme="minorHAnsi" w:cstheme="minorHAnsi"/>
        </w:rPr>
        <w:t xml:space="preserve">Dokument powinien zostać przygotowany zgodnie z następującymi zaleceniami: czcionka Times New Roman 12, interlinia 1, format A4, objętość – maksymalnie 5 stron. </w:t>
      </w:r>
      <w:r>
        <w:rPr>
          <w:rFonts w:asciiTheme="minorHAnsi" w:eastAsia="Times New Roman" w:hAnsiTheme="minorHAnsi" w:cstheme="minorHAnsi"/>
        </w:rPr>
        <w:t>Wszelkie wymagane dokumenty potrzebne do</w:t>
      </w:r>
      <w:r w:rsidR="00627A82">
        <w:rPr>
          <w:rFonts w:asciiTheme="minorHAnsi" w:eastAsia="Times New Roman" w:hAnsiTheme="minorHAnsi" w:cstheme="minorHAnsi"/>
        </w:rPr>
        <w:t xml:space="preserve"> sporządzenia oferty dostępne są</w:t>
      </w:r>
      <w:r>
        <w:rPr>
          <w:rFonts w:asciiTheme="minorHAnsi" w:eastAsia="Times New Roman" w:hAnsiTheme="minorHAnsi" w:cstheme="minorHAnsi"/>
        </w:rPr>
        <w:t xml:space="preserve"> na portalu ZSK pod adresem </w:t>
      </w:r>
      <w:hyperlink r:id="rId8" w:history="1">
        <w:r w:rsidRPr="004354F0">
          <w:rPr>
            <w:rStyle w:val="Hipercze"/>
            <w:rFonts w:asciiTheme="minorHAnsi" w:eastAsia="Times New Roman" w:hAnsiTheme="minorHAnsi" w:cstheme="minorHAnsi"/>
          </w:rPr>
          <w:t>www.kwalifikacje.gov.pl</w:t>
        </w:r>
      </w:hyperlink>
      <w:r>
        <w:rPr>
          <w:rFonts w:asciiTheme="minorHAnsi" w:eastAsia="Times New Roman" w:hAnsiTheme="minorHAnsi" w:cstheme="minorHAnsi"/>
        </w:rPr>
        <w:t>.</w:t>
      </w:r>
    </w:p>
    <w:p w:rsidR="00A26960" w:rsidRPr="002E4177" w:rsidRDefault="00A26960" w:rsidP="00627A82">
      <w:pPr>
        <w:pStyle w:val="Tekstpodstawowy"/>
        <w:spacing w:before="60"/>
        <w:jc w:val="both"/>
        <w:rPr>
          <w:rFonts w:asciiTheme="minorHAnsi" w:hAnsiTheme="minorHAnsi" w:cstheme="minorHAnsi"/>
        </w:rPr>
      </w:pPr>
      <w:r w:rsidRPr="002E4177">
        <w:rPr>
          <w:rFonts w:asciiTheme="minorHAnsi" w:eastAsia="Times New Roman" w:hAnsiTheme="minorHAnsi" w:cstheme="minorHAnsi"/>
        </w:rPr>
        <w:t xml:space="preserve">. </w:t>
      </w:r>
    </w:p>
    <w:p w:rsidR="00A26960" w:rsidRPr="002E4177" w:rsidRDefault="00A26960" w:rsidP="00627A82">
      <w:pPr>
        <w:pStyle w:val="Tekstpodstawowy"/>
        <w:numPr>
          <w:ilvl w:val="0"/>
          <w:numId w:val="3"/>
        </w:numPr>
        <w:tabs>
          <w:tab w:val="left" w:pos="284"/>
        </w:tabs>
        <w:spacing w:before="60" w:after="60"/>
        <w:ind w:left="993" w:hanging="426"/>
        <w:jc w:val="both"/>
        <w:rPr>
          <w:rFonts w:asciiTheme="minorHAnsi" w:hAnsiTheme="minorHAnsi" w:cstheme="minorHAnsi"/>
        </w:rPr>
      </w:pPr>
      <w:r w:rsidRPr="002E4177">
        <w:rPr>
          <w:rFonts w:asciiTheme="minorHAnsi" w:hAnsiTheme="minorHAnsi" w:cstheme="minorHAnsi"/>
        </w:rPr>
        <w:t xml:space="preserve">Poprawność użytej terminologii ZSK (maks. </w:t>
      </w:r>
      <w:r w:rsidRPr="002E4177">
        <w:rPr>
          <w:rFonts w:asciiTheme="minorHAnsi" w:hAnsiTheme="minorHAnsi" w:cstheme="minorHAnsi"/>
          <w:b/>
          <w:bCs/>
        </w:rPr>
        <w:t>5 pkt</w:t>
      </w:r>
      <w:r w:rsidRPr="002E4177">
        <w:rPr>
          <w:rFonts w:asciiTheme="minorHAnsi" w:hAnsiTheme="minorHAnsi" w:cstheme="minorHAnsi"/>
        </w:rPr>
        <w:t>)</w:t>
      </w:r>
    </w:p>
    <w:p w:rsidR="00A26960" w:rsidRPr="002E4177" w:rsidRDefault="00A26960" w:rsidP="00A26960">
      <w:pPr>
        <w:pStyle w:val="Tekstpodstawowy"/>
        <w:numPr>
          <w:ilvl w:val="0"/>
          <w:numId w:val="14"/>
        </w:numPr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2E4177">
        <w:rPr>
          <w:rFonts w:asciiTheme="minorHAnsi" w:hAnsiTheme="minorHAnsi" w:cstheme="minorHAnsi"/>
        </w:rPr>
        <w:t>5 pkt – jeżeli terminologia ZSK będzie użyta prawidłowo;</w:t>
      </w:r>
    </w:p>
    <w:p w:rsidR="00A26960" w:rsidRPr="002E4177" w:rsidRDefault="00A26960" w:rsidP="00A26960">
      <w:pPr>
        <w:pStyle w:val="Tekstpodstawowy"/>
        <w:numPr>
          <w:ilvl w:val="0"/>
          <w:numId w:val="14"/>
        </w:numPr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2E4177">
        <w:rPr>
          <w:rFonts w:asciiTheme="minorHAnsi" w:hAnsiTheme="minorHAnsi" w:cstheme="minorHAnsi"/>
        </w:rPr>
        <w:t>4 pkt – jeżeli pojawią się nie więcej niż 2 błędy w terminologii ZSK;</w:t>
      </w:r>
    </w:p>
    <w:p w:rsidR="00A26960" w:rsidRPr="002E4177" w:rsidRDefault="00A26960" w:rsidP="00A26960">
      <w:pPr>
        <w:pStyle w:val="Tekstpodstawowy"/>
        <w:numPr>
          <w:ilvl w:val="0"/>
          <w:numId w:val="14"/>
        </w:numPr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2E4177">
        <w:rPr>
          <w:rFonts w:asciiTheme="minorHAnsi" w:hAnsiTheme="minorHAnsi" w:cstheme="minorHAnsi"/>
        </w:rPr>
        <w:t>2 pkt – jeżeli pojawia się nie więcej niż 4 błędy w terminologii ZSK;</w:t>
      </w:r>
    </w:p>
    <w:p w:rsidR="00A26960" w:rsidRPr="002E4177" w:rsidRDefault="00A26960" w:rsidP="00A26960">
      <w:pPr>
        <w:pStyle w:val="Tekstpodstawowy"/>
        <w:numPr>
          <w:ilvl w:val="0"/>
          <w:numId w:val="14"/>
        </w:numPr>
        <w:spacing w:before="60"/>
        <w:ind w:left="1418" w:hanging="284"/>
        <w:jc w:val="both"/>
        <w:rPr>
          <w:rFonts w:asciiTheme="minorHAnsi" w:hAnsiTheme="minorHAnsi" w:cstheme="minorHAnsi"/>
        </w:rPr>
      </w:pPr>
      <w:r w:rsidRPr="002E4177">
        <w:rPr>
          <w:rFonts w:asciiTheme="minorHAnsi" w:hAnsiTheme="minorHAnsi" w:cstheme="minorHAnsi"/>
        </w:rPr>
        <w:t>0 pkt – jeżeli pojawią się więcej niż 4 błędy w zakresie terminologii ZSK.</w:t>
      </w:r>
    </w:p>
    <w:p w:rsidR="00CA5CD2" w:rsidRDefault="00CA5CD2" w:rsidP="00A26960">
      <w:pPr>
        <w:rPr>
          <w:rFonts w:ascii="Arial" w:hAnsi="Arial" w:cs="Arial"/>
          <w:color w:val="263238"/>
          <w:sz w:val="20"/>
          <w:szCs w:val="20"/>
        </w:rPr>
      </w:pPr>
      <w:r>
        <w:lastRenderedPageBreak/>
        <w:br/>
      </w:r>
      <w:r>
        <w:rPr>
          <w:rFonts w:ascii="Arial" w:hAnsi="Arial" w:cs="Arial"/>
          <w:color w:val="263238"/>
          <w:sz w:val="20"/>
          <w:szCs w:val="20"/>
        </w:rPr>
        <w:t xml:space="preserve">Punkty wagowe otrzymane w kryterium „b, c i d” przez daną ofertę podczas oceny indywidualnej zostaną do siebie dodane, a następnie podzielone przez liczbę oceniających. </w:t>
      </w:r>
    </w:p>
    <w:p w:rsidR="00017F3C" w:rsidRDefault="00017F3C" w:rsidP="00A26960">
      <w:pPr>
        <w:rPr>
          <w:rFonts w:asciiTheme="minorHAnsi" w:hAnsiTheme="minorHAnsi" w:cs="Arial"/>
        </w:rPr>
      </w:pPr>
    </w:p>
    <w:p w:rsidR="00A26960" w:rsidRPr="002E4177" w:rsidRDefault="00A26960" w:rsidP="00A26960">
      <w:pPr>
        <w:rPr>
          <w:rFonts w:asciiTheme="minorHAnsi" w:hAnsiTheme="minorHAnsi" w:cs="Arial"/>
        </w:rPr>
      </w:pPr>
      <w:r w:rsidRPr="002E4177">
        <w:rPr>
          <w:rFonts w:asciiTheme="minorHAnsi" w:hAnsiTheme="minorHAnsi" w:cs="Arial"/>
        </w:rPr>
        <w:t xml:space="preserve">Punkty ze wszystkich kryteriów zostaną do siebie dodane. Umowa zostanie podpisana </w:t>
      </w:r>
      <w:r w:rsidRPr="002E4177">
        <w:rPr>
          <w:rFonts w:asciiTheme="minorHAnsi" w:hAnsiTheme="minorHAnsi" w:cs="Arial"/>
        </w:rPr>
        <w:br/>
        <w:t>z Wykonawcą, który zdobędzie najwyższą liczbę punktów.</w:t>
      </w:r>
    </w:p>
    <w:p w:rsidR="00A920C3" w:rsidRPr="002E4177" w:rsidRDefault="00A26960" w:rsidP="00A26960">
      <w:pPr>
        <w:pStyle w:val="Akapitzlist1"/>
        <w:spacing w:after="120"/>
        <w:ind w:left="0"/>
        <w:rPr>
          <w:rFonts w:asciiTheme="minorHAnsi" w:hAnsiTheme="minorHAnsi" w:cstheme="minorHAnsi"/>
        </w:rPr>
      </w:pPr>
      <w:r w:rsidRPr="002E4177">
        <w:rPr>
          <w:rFonts w:asciiTheme="minorHAnsi" w:hAnsiTheme="minorHAnsi" w:cstheme="minorHAnsi"/>
        </w:rPr>
        <w:t xml:space="preserve"> </w:t>
      </w:r>
    </w:p>
    <w:p w:rsidR="00A920C3" w:rsidRPr="002E4177" w:rsidRDefault="00A920C3" w:rsidP="00A920C3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E4177">
        <w:rPr>
          <w:rFonts w:asciiTheme="minorHAnsi" w:hAnsiTheme="minorHAnsi" w:cstheme="minorHAnsi"/>
          <w:b/>
          <w:bCs/>
        </w:rPr>
        <w:t>Wymagane dokumenty:</w:t>
      </w:r>
    </w:p>
    <w:p w:rsidR="00A920C3" w:rsidRPr="001D6172" w:rsidRDefault="00A920C3" w:rsidP="00A920C3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formularz </w:t>
      </w:r>
      <w:r w:rsidRPr="001D617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ofertowy;</w:t>
      </w:r>
    </w:p>
    <w:p w:rsidR="00A920C3" w:rsidRPr="001D6172" w:rsidRDefault="00CA5CD2" w:rsidP="00A920C3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wykaz doświadczenia</w:t>
      </w:r>
      <w:r w:rsidR="00A920C3" w:rsidRPr="001D617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określone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go</w:t>
      </w:r>
      <w:r w:rsidR="00A920C3" w:rsidRPr="001D617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pkt 3</w:t>
      </w:r>
      <w:r w:rsidR="006B4C2E" w:rsidRPr="001D617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</w:t>
      </w:r>
      <w:r w:rsidR="007436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b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(załącznik nr 4)</w:t>
      </w:r>
      <w:r w:rsidR="00A920C3" w:rsidRPr="001D617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:rsidR="00A920C3" w:rsidRPr="002E4177" w:rsidRDefault="00A920C3" w:rsidP="00A920C3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617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wykaz doświadczenia i publikacji (jeśli dotyczy) określonych</w:t>
      </w:r>
      <w:r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pkt 4b</w:t>
      </w:r>
      <w:r w:rsidR="00CA5CD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(załącznik nr 5)</w:t>
      </w:r>
      <w:r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:rsidR="00A920C3" w:rsidRPr="002E4177" w:rsidRDefault="00A920C3" w:rsidP="00D243AB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opracowanie zawierające wstępną </w:t>
      </w:r>
      <w:r w:rsidR="00E072BE"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koncepcję ekspertyzy </w:t>
      </w:r>
      <w:r w:rsidR="00D243AB"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określone w pkt 4c</w:t>
      </w:r>
      <w:r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A920C3" w:rsidRPr="002E4177" w:rsidRDefault="00A920C3" w:rsidP="00A920C3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E4177">
        <w:rPr>
          <w:rFonts w:asciiTheme="minorHAnsi" w:hAnsiTheme="minorHAnsi" w:cstheme="minorHAnsi"/>
          <w:b/>
          <w:bCs/>
        </w:rPr>
        <w:t>Sposób, miejsce i termin składania ofert</w:t>
      </w:r>
    </w:p>
    <w:p w:rsidR="00A920C3" w:rsidRPr="002E4177" w:rsidRDefault="00A920C3" w:rsidP="00A920C3">
      <w:pPr>
        <w:pStyle w:val="Akapitzlist1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 </w:t>
      </w:r>
      <w:r w:rsidR="00A25C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0</w:t>
      </w:r>
      <w:r w:rsidR="002C6A4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2566B1"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.0</w:t>
      </w:r>
      <w:r w:rsidR="00A25C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8</w:t>
      </w:r>
      <w:r w:rsidR="002566B1"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.2017</w:t>
      </w:r>
      <w:r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r., dec</w:t>
      </w:r>
      <w:r w:rsidR="007B14D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yduje data wpłynięcia oferty wraz z wykazem doświadczenia.</w:t>
      </w:r>
    </w:p>
    <w:p w:rsidR="00A920C3" w:rsidRPr="002E4177" w:rsidRDefault="00A920C3" w:rsidP="00A920C3">
      <w:pPr>
        <w:pStyle w:val="Akapitzlist1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A920C3" w:rsidRPr="002E4177" w:rsidRDefault="00A920C3" w:rsidP="00A920C3">
      <w:pPr>
        <w:pStyle w:val="Akapitzlist1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Pr="002E41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  <w:t>a następnie:</w:t>
      </w:r>
    </w:p>
    <w:p w:rsidR="00CA5CD2" w:rsidRPr="00627A82" w:rsidRDefault="00A920C3" w:rsidP="00627A8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2E4177">
        <w:rPr>
          <w:rFonts w:asciiTheme="minorHAnsi" w:hAnsiTheme="minorHAnsi" w:cstheme="minorHAnsi"/>
          <w:bCs/>
        </w:rPr>
        <w:t xml:space="preserve">przesłać pocztą elektroniczną na adres: zapytania_ofertowe@ibe.edu.pl  </w:t>
      </w:r>
      <w:r w:rsidR="00CA5CD2" w:rsidRPr="00627A82">
        <w:rPr>
          <w:rFonts w:asciiTheme="minorHAnsi" w:hAnsiTheme="minorHAnsi" w:cstheme="minorHAnsi"/>
          <w:b/>
          <w:bCs/>
        </w:rPr>
        <w:t>Zmiana umowy</w:t>
      </w:r>
    </w:p>
    <w:p w:rsidR="00CA5CD2" w:rsidRPr="006102F5" w:rsidRDefault="00CA5CD2" w:rsidP="00627A82">
      <w:pPr>
        <w:tabs>
          <w:tab w:val="left" w:pos="360"/>
          <w:tab w:val="num" w:pos="1134"/>
        </w:tabs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102F5">
        <w:rPr>
          <w:rFonts w:asciiTheme="minorHAnsi" w:hAnsiTheme="minorHAnsi" w:cstheme="minorHAnsi"/>
          <w:bCs/>
        </w:rPr>
        <w:t>Umowa może zostać zmieniona w zakresie: terminu realizacji zamówienia</w:t>
      </w:r>
    </w:p>
    <w:p w:rsidR="00CA5CD2" w:rsidRPr="006102F5" w:rsidRDefault="00CA5CD2" w:rsidP="00627A82">
      <w:pPr>
        <w:tabs>
          <w:tab w:val="left" w:pos="360"/>
          <w:tab w:val="num" w:pos="1134"/>
        </w:tabs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</w:p>
    <w:p w:rsidR="00CA5CD2" w:rsidRPr="00627A82" w:rsidRDefault="00CA5CD2" w:rsidP="00627A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102F5">
        <w:rPr>
          <w:rFonts w:asciiTheme="minorHAnsi" w:hAnsiTheme="minorHAnsi" w:cstheme="minorHAnsi"/>
          <w:bCs/>
        </w:rPr>
        <w:t>Z</w:t>
      </w:r>
      <w:r w:rsidRPr="006102F5">
        <w:rPr>
          <w:rFonts w:asciiTheme="minorHAnsi" w:hAnsiTheme="minorHAnsi" w:cstheme="minorHAnsi"/>
        </w:rPr>
        <w:t xml:space="preserve"> wykonawcami, którzy złożą oferty mogą być prowadzone negocjacje w celu  ustalenia szczegółowych warunków realizacji zamówienia. </w:t>
      </w:r>
    </w:p>
    <w:p w:rsidR="00627A82" w:rsidRPr="006102F5" w:rsidRDefault="00627A82" w:rsidP="00627A82">
      <w:pPr>
        <w:tabs>
          <w:tab w:val="left" w:pos="360"/>
        </w:tabs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bCs/>
        </w:rPr>
      </w:pPr>
    </w:p>
    <w:p w:rsidR="0001658F" w:rsidRPr="002E4177" w:rsidRDefault="00A920C3" w:rsidP="00DE7D3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  <w:r w:rsidRPr="002E4177">
        <w:rPr>
          <w:rFonts w:asciiTheme="minorHAnsi" w:hAnsiTheme="minorHAnsi" w:cstheme="minorHAnsi"/>
          <w:b/>
          <w:lang w:val="pt-PT" w:eastAsia="pt-PT"/>
        </w:rPr>
        <w:t>Zastrzega się, że niniejsze ogłoszenie, a także określone w nim warunki mogą być zmienione lub odwołane przez Zamawiającego.</w:t>
      </w:r>
    </w:p>
    <w:sectPr w:rsidR="0001658F" w:rsidRPr="002E4177" w:rsidSect="00BC26A9">
      <w:headerReference w:type="default" r:id="rId9"/>
      <w:headerReference w:type="first" r:id="rId10"/>
      <w:footerReference w:type="first" r:id="rId11"/>
      <w:pgSz w:w="11906" w:h="16838"/>
      <w:pgMar w:top="751" w:right="1133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E5" w:rsidRDefault="007B24E5">
      <w:r>
        <w:separator/>
      </w:r>
    </w:p>
  </w:endnote>
  <w:endnote w:type="continuationSeparator" w:id="0">
    <w:p w:rsidR="007B24E5" w:rsidRDefault="007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A5" w:rsidRDefault="007B24E5">
    <w:pPr>
      <w:pStyle w:val="Stopka"/>
      <w:rPr>
        <w:rFonts w:ascii="Arial" w:hAnsi="Arial" w:cs="Arial"/>
        <w:b/>
        <w:bCs/>
        <w:sz w:val="16"/>
        <w:szCs w:val="16"/>
      </w:rPr>
    </w:pPr>
  </w:p>
  <w:p w:rsidR="00451DA5" w:rsidRDefault="00FA54CA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hAnsi="Arial" w:cs="Arial"/>
        <w:color w:val="F6891F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451DA5" w:rsidRDefault="007B2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E5" w:rsidRDefault="007B24E5">
      <w:r>
        <w:separator/>
      </w:r>
    </w:p>
  </w:footnote>
  <w:footnote w:type="continuationSeparator" w:id="0">
    <w:p w:rsidR="007B24E5" w:rsidRDefault="007B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A5" w:rsidRDefault="007B24E5">
    <w:pPr>
      <w:ind w:right="56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A5" w:rsidRDefault="00FA54C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-252095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9A2"/>
    <w:multiLevelType w:val="multilevel"/>
    <w:tmpl w:val="52497C7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912F6E"/>
    <w:multiLevelType w:val="multilevel"/>
    <w:tmpl w:val="1B912F6E"/>
    <w:lvl w:ilvl="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0E038A"/>
    <w:multiLevelType w:val="multilevel"/>
    <w:tmpl w:val="200E0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346"/>
    <w:multiLevelType w:val="multilevel"/>
    <w:tmpl w:val="23B8734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831EF"/>
    <w:multiLevelType w:val="hybridMultilevel"/>
    <w:tmpl w:val="CDC8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2C3F"/>
    <w:multiLevelType w:val="hybridMultilevel"/>
    <w:tmpl w:val="3A7E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491167EA"/>
    <w:multiLevelType w:val="multilevel"/>
    <w:tmpl w:val="770A18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5804F2"/>
    <w:multiLevelType w:val="multilevel"/>
    <w:tmpl w:val="505804F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160C1D"/>
    <w:multiLevelType w:val="multilevel"/>
    <w:tmpl w:val="51160C1D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497C78"/>
    <w:multiLevelType w:val="multilevel"/>
    <w:tmpl w:val="52497C7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62003E"/>
    <w:multiLevelType w:val="multilevel"/>
    <w:tmpl w:val="967EC6E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0A3FF6"/>
    <w:multiLevelType w:val="multilevel"/>
    <w:tmpl w:val="6E0A3FF6"/>
    <w:lvl w:ilvl="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6F6C56E2"/>
    <w:multiLevelType w:val="hybridMultilevel"/>
    <w:tmpl w:val="A80672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0774C4B"/>
    <w:multiLevelType w:val="multilevel"/>
    <w:tmpl w:val="70774C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8496B0" w:themeColor="text2" w:themeTint="99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color w:val="8496B0" w:themeColor="text2" w:themeTint="99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  <w:color w:val="8496B0" w:themeColor="text2" w:themeTint="99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8496B0" w:themeColor="text2" w:themeTint="99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  <w:color w:val="8496B0" w:themeColor="text2" w:themeTint="99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  <w:color w:val="8496B0" w:themeColor="text2" w:themeTint="99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  <w:color w:val="8496B0" w:themeColor="text2" w:themeTint="99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  <w:color w:val="8496B0" w:themeColor="text2" w:themeTint="99"/>
      </w:rPr>
    </w:lvl>
  </w:abstractNum>
  <w:abstractNum w:abstractNumId="14">
    <w:nsid w:val="7203271F"/>
    <w:multiLevelType w:val="hybridMultilevel"/>
    <w:tmpl w:val="28FA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F2BA5"/>
    <w:multiLevelType w:val="multilevel"/>
    <w:tmpl w:val="73CF2BA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7C128B"/>
    <w:multiLevelType w:val="multilevel"/>
    <w:tmpl w:val="747C128B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D66A13"/>
    <w:multiLevelType w:val="hybridMultilevel"/>
    <w:tmpl w:val="68A6347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A4C7B1D"/>
    <w:multiLevelType w:val="multilevel"/>
    <w:tmpl w:val="7A4C7B1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8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C3"/>
    <w:rsid w:val="0001658F"/>
    <w:rsid w:val="00017F3C"/>
    <w:rsid w:val="00031C16"/>
    <w:rsid w:val="00033B9B"/>
    <w:rsid w:val="00083EB5"/>
    <w:rsid w:val="000E7B25"/>
    <w:rsid w:val="00194C23"/>
    <w:rsid w:val="001952B5"/>
    <w:rsid w:val="001D6172"/>
    <w:rsid w:val="00234E5A"/>
    <w:rsid w:val="00251872"/>
    <w:rsid w:val="002566B1"/>
    <w:rsid w:val="00264C8A"/>
    <w:rsid w:val="00276588"/>
    <w:rsid w:val="002A4DBD"/>
    <w:rsid w:val="002C6A43"/>
    <w:rsid w:val="002E4177"/>
    <w:rsid w:val="002F70D5"/>
    <w:rsid w:val="00337DAB"/>
    <w:rsid w:val="003F7FF5"/>
    <w:rsid w:val="00435CB3"/>
    <w:rsid w:val="00494456"/>
    <w:rsid w:val="005D15C7"/>
    <w:rsid w:val="00627A82"/>
    <w:rsid w:val="006617A8"/>
    <w:rsid w:val="006B4C2E"/>
    <w:rsid w:val="006B6ED0"/>
    <w:rsid w:val="006D0C3C"/>
    <w:rsid w:val="006F4B98"/>
    <w:rsid w:val="007433BD"/>
    <w:rsid w:val="00743697"/>
    <w:rsid w:val="00743E20"/>
    <w:rsid w:val="0078603E"/>
    <w:rsid w:val="00796990"/>
    <w:rsid w:val="007B14DF"/>
    <w:rsid w:val="007B24E5"/>
    <w:rsid w:val="008034DD"/>
    <w:rsid w:val="0084271E"/>
    <w:rsid w:val="008512D2"/>
    <w:rsid w:val="00945DC9"/>
    <w:rsid w:val="00972E1C"/>
    <w:rsid w:val="009E7960"/>
    <w:rsid w:val="00A04F7F"/>
    <w:rsid w:val="00A25CD0"/>
    <w:rsid w:val="00A26960"/>
    <w:rsid w:val="00A920C3"/>
    <w:rsid w:val="00AF30EE"/>
    <w:rsid w:val="00AF36B4"/>
    <w:rsid w:val="00B31D08"/>
    <w:rsid w:val="00BC26A9"/>
    <w:rsid w:val="00C8512E"/>
    <w:rsid w:val="00CA5CD2"/>
    <w:rsid w:val="00CB3E46"/>
    <w:rsid w:val="00CC2147"/>
    <w:rsid w:val="00CD4F72"/>
    <w:rsid w:val="00D243AB"/>
    <w:rsid w:val="00D43139"/>
    <w:rsid w:val="00DB12EC"/>
    <w:rsid w:val="00DE204F"/>
    <w:rsid w:val="00DE7D37"/>
    <w:rsid w:val="00E072BE"/>
    <w:rsid w:val="00E36739"/>
    <w:rsid w:val="00EC2C33"/>
    <w:rsid w:val="00EC5886"/>
    <w:rsid w:val="00F13920"/>
    <w:rsid w:val="00F22A0E"/>
    <w:rsid w:val="00F3013D"/>
    <w:rsid w:val="00F37837"/>
    <w:rsid w:val="00FA54CA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20C3"/>
    <w:pPr>
      <w:spacing w:after="120"/>
    </w:pPr>
    <w:rPr>
      <w:rFonts w:eastAsiaTheme="minorEastAsia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0C3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qFormat/>
    <w:rsid w:val="00A9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2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92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2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920C3"/>
    <w:rPr>
      <w:rFonts w:ascii="Arial" w:eastAsia="Times New Roman" w:hAnsi="Arial" w:cs="Arial" w:hint="default"/>
      <w:b/>
      <w:bCs/>
    </w:rPr>
  </w:style>
  <w:style w:type="paragraph" w:customStyle="1" w:styleId="Akapitzlist1">
    <w:name w:val="Akapit z listą1"/>
    <w:basedOn w:val="Normalny"/>
    <w:uiPriority w:val="99"/>
    <w:qFormat/>
    <w:rsid w:val="00A92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920C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4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D3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7D3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D37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71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269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20C3"/>
    <w:pPr>
      <w:spacing w:after="120"/>
    </w:pPr>
    <w:rPr>
      <w:rFonts w:eastAsiaTheme="minorEastAsia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0C3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qFormat/>
    <w:rsid w:val="00A9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2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92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2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920C3"/>
    <w:rPr>
      <w:rFonts w:ascii="Arial" w:eastAsia="Times New Roman" w:hAnsi="Arial" w:cs="Arial" w:hint="default"/>
      <w:b/>
      <w:bCs/>
    </w:rPr>
  </w:style>
  <w:style w:type="paragraph" w:customStyle="1" w:styleId="Akapitzlist1">
    <w:name w:val="Akapit z listą1"/>
    <w:basedOn w:val="Normalny"/>
    <w:uiPriority w:val="99"/>
    <w:qFormat/>
    <w:rsid w:val="00A92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920C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4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D3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7D3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D37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71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269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k.mikulska</cp:lastModifiedBy>
  <cp:revision>3</cp:revision>
  <cp:lastPrinted>2017-06-21T12:29:00Z</cp:lastPrinted>
  <dcterms:created xsi:type="dcterms:W3CDTF">2017-07-27T11:52:00Z</dcterms:created>
  <dcterms:modified xsi:type="dcterms:W3CDTF">2017-07-27T13:37:00Z</dcterms:modified>
</cp:coreProperties>
</file>